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600" w:lineRule="exact"/>
        <w:ind w:firstLine="880" w:firstLineChars="200"/>
        <w:contextualSpacing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  <w:t>中共乐山市金口河区委组织部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600" w:lineRule="exact"/>
        <w:ind w:firstLine="880" w:firstLineChars="200"/>
        <w:contextualSpacing/>
        <w:jc w:val="center"/>
        <w:textAlignment w:val="auto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  <w:t>部门整体支出绩效自评报告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60" w:firstLineChars="200"/>
        <w:contextualSpacing/>
        <w:jc w:val="left"/>
        <w:textAlignment w:val="auto"/>
        <w:rPr>
          <w:rFonts w:ascii="方正仿宋_GBK" w:hAnsi="宋体" w:eastAsia="方正仿宋_GBK" w:cs="宋体"/>
          <w:color w:val="000000"/>
          <w:kern w:val="0"/>
          <w:sz w:val="33"/>
          <w:szCs w:val="33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60" w:firstLineChars="200"/>
        <w:contextualSpacing/>
        <w:jc w:val="left"/>
        <w:textAlignment w:val="auto"/>
        <w:rPr>
          <w:rFonts w:ascii="方正仿宋_GBK" w:hAnsi="宋体" w:eastAsia="方正仿宋_GBK" w:cs="宋体"/>
          <w:color w:val="000000"/>
          <w:kern w:val="0"/>
          <w:sz w:val="33"/>
          <w:szCs w:val="33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default" w:ascii="黑体" w:hAnsi="黑体" w:eastAsia="黑体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  <w:t>部门（单位）概况</w:t>
      </w: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（一）机构组成。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中共乐山市金口河区委组织部属于党政机关单位，其中有归口管理行政单位4个，参公事业单位1个、事业单位1个。主要包括：区直属机关工委、区委老干部局、区委非公有制经济组织和社会组织党工委、区公务员局、区委党员教育中心、区老干部活动中心。除区委组织部外，其他单位均非预算单位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（二）机构职能。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（1）贯彻落实党的干部路线、方针、政策，制定或参与干部人事工作的有关规定和干部人事制度改革建议方案；研究制定选拔、考核干部的规定和程序；负责全区干部工作的宏观管理。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（2）对区委管理和区委委托管理的领导班子和领导干部进行考察了解，提出调整配备的意见和建议；抓好领导班子的思想作风建设；负责办理区委向区人大推荐干部的工作；办理区委管理和区委委托管理干部的任免、审批手续；承办干部调动事宜；组织实施公开选拔领导干部工作和区管干部年度考核工作；负责部分干部的交流工作；办理干部出国出境审批手续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（3）制定全区干部队伍发展规划，负责后备干部队伍建设和培养选拔年轻干部的指导、管理工作。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（4）贯彻落实党的组织工作的路线、方针和政策；对全区各级党的组织建设进行调查研究，提出意见、建议；研究制定加强党的组织建设的措施，并进行宏观指导、督促检查；负责全区党员的管理、教育和发展工作；负责组织员队伍建设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（5）承办区党代会、人代会、政协会的有关工作及各级代表（委员）的推选考察工作。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（6）对全区干部教育培训工作进行规划指导，对党政干部和企业经营管理者、科技人员教育培训工作进行协调、督促和检查，并具体组织领导干部和组织、人事干部的培训。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（7）指导全区知识分子工作，推动和促进社会各类人才成长、开发和合理配置，负责选拔和管理有突出贡献专家、专门人才和新世纪科技带头人。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（8）负责确定干部建国前参加革命工作时间、建国前党员党籍党龄和落实干部政策的宏观指导与案件审理。参与制定干部监督工作的政策规定，督促检查贯彻落实《党政领导干部选拔任用工作条例》，负责对领导班子和领导干部的监督，受理群众举报干部选拔任用工作和领导干部政治、思想、作风、廉政、品德等方面的问题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（9）负责区级党委、人大、政协、民主党派、群众团体机关参照《国家公务员暂行条例》管理工作和全区参照管理工作的指导。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（10）负责党员、干部的来信来访工作。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（11）负责党员和干部的统计工作；负责区管干部的档案管理，并指导全区干部档案管理工作；负责全区党史资料的收集、编写和出版工作。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（12）指导、检查各级党组织的工作，及时向区委和市委组织部报告全区党的组织、干部工作情况。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（13）负责离退休干部工作的宏观指导；办理区管干部的离退休审批手续；管理区委老干部工作局。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（14）完成区委和市委组织部交办的其他任务。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（三）人员概况。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楷体_GB2312" w:hAnsi="宋体" w:eastAsia="楷体_GB2312" w:cs="宋体"/>
          <w:color w:val="auto"/>
          <w:kern w:val="0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在编人数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人。其中行政编制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人（党员教育中心3人），事业编制3人（机关工勤1人，老干部活动中心2人）。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年末，实有人数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人，其中行政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人，事业3人。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二、部门财政资金收支情况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（一）部门财政资金收入情况。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Cs w:val="32"/>
        </w:rPr>
        <w:t>年收入总额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926</w:t>
      </w:r>
      <w:r>
        <w:rPr>
          <w:rFonts w:hint="eastAsia" w:ascii="仿宋_GB2312" w:hAnsi="仿宋_GB2312" w:eastAsia="仿宋_GB2312" w:cs="仿宋_GB2312"/>
          <w:kern w:val="0"/>
          <w:szCs w:val="32"/>
        </w:rPr>
        <w:t>万元。其中一般公共预算财政拨款收入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 xml:space="preserve">  925</w:t>
      </w:r>
      <w:r>
        <w:rPr>
          <w:rFonts w:hint="eastAsia" w:ascii="仿宋_GB2312" w:hAnsi="仿宋_GB2312" w:eastAsia="仿宋_GB2312" w:cs="仿宋_GB2312"/>
          <w:kern w:val="0"/>
          <w:szCs w:val="32"/>
        </w:rPr>
        <w:t>万元,</w:t>
      </w:r>
      <w:r>
        <w:rPr>
          <w:rFonts w:hint="eastAsia" w:ascii="仿宋_GB2312" w:hAnsi="仿宋" w:eastAsia="仿宋_GB2312"/>
          <w:szCs w:val="32"/>
        </w:rPr>
        <w:t>占总收入</w:t>
      </w:r>
      <w:r>
        <w:rPr>
          <w:rFonts w:hint="eastAsia" w:ascii="仿宋_GB2312" w:hAnsi="仿宋" w:eastAsia="仿宋_GB2312"/>
          <w:szCs w:val="32"/>
          <w:lang w:val="en-US" w:eastAsia="zh-CN"/>
        </w:rPr>
        <w:t>99.92</w:t>
      </w:r>
      <w:r>
        <w:rPr>
          <w:rFonts w:hint="eastAsia" w:ascii="仿宋_GB2312" w:hAnsi="仿宋" w:eastAsia="仿宋_GB2312"/>
          <w:szCs w:val="32"/>
        </w:rPr>
        <w:t>%</w:t>
      </w:r>
      <w:r>
        <w:rPr>
          <w:rFonts w:hint="eastAsia" w:ascii="仿宋_GB2312" w:hAnsi="仿宋" w:eastAsia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Cs w:val="32"/>
        </w:rPr>
        <w:t>年初结转和结余收入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0.74</w:t>
      </w:r>
      <w:r>
        <w:rPr>
          <w:rFonts w:hint="eastAsia" w:ascii="仿宋_GB2312" w:hAnsi="仿宋_GB2312" w:eastAsia="仿宋_GB2312" w:cs="仿宋_GB2312"/>
          <w:kern w:val="0"/>
          <w:szCs w:val="32"/>
        </w:rPr>
        <w:t>万元，</w:t>
      </w:r>
      <w:r>
        <w:rPr>
          <w:rFonts w:hint="eastAsia" w:ascii="仿宋_GB2312" w:hAnsi="仿宋" w:eastAsia="仿宋_GB2312"/>
          <w:szCs w:val="32"/>
        </w:rPr>
        <w:t>占总收入</w:t>
      </w:r>
      <w:r>
        <w:rPr>
          <w:rFonts w:hint="eastAsia" w:ascii="仿宋_GB2312" w:hAnsi="仿宋" w:eastAsia="仿宋_GB2312"/>
          <w:szCs w:val="32"/>
          <w:lang w:val="en-US" w:eastAsia="zh-CN"/>
        </w:rPr>
        <w:t>0.08</w:t>
      </w:r>
      <w:r>
        <w:rPr>
          <w:rFonts w:hint="eastAsia" w:ascii="仿宋_GB2312" w:hAnsi="仿宋" w:eastAsia="仿宋_GB2312"/>
          <w:szCs w:val="32"/>
        </w:rPr>
        <w:t>%</w:t>
      </w:r>
      <w:r>
        <w:rPr>
          <w:rFonts w:hint="eastAsia" w:ascii="仿宋_GB2312" w:hAnsi="仿宋_GB2312" w:eastAsia="仿宋_GB2312" w:cs="仿宋_GB2312"/>
          <w:kern w:val="0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（二）部门财政资金支出情况。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Cs w:val="32"/>
        </w:rPr>
        <w:t>年支出总额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1086</w:t>
      </w:r>
      <w:r>
        <w:rPr>
          <w:rFonts w:hint="eastAsia" w:ascii="仿宋_GB2312" w:hAnsi="仿宋_GB2312" w:eastAsia="仿宋_GB2312" w:cs="仿宋_GB2312"/>
          <w:kern w:val="0"/>
          <w:szCs w:val="32"/>
        </w:rPr>
        <w:t>万元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Cs w:val="32"/>
        </w:rPr>
        <w:t>其中:一般公共服务支出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476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万元；</w:t>
      </w:r>
      <w:r>
        <w:rPr>
          <w:rFonts w:hint="eastAsia" w:ascii="仿宋_GB2312" w:hAnsi="仿宋_GB2312" w:eastAsia="仿宋_GB2312" w:cs="仿宋_GB2312"/>
          <w:kern w:val="0"/>
          <w:szCs w:val="32"/>
        </w:rPr>
        <w:t>社会保障和就业支出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121</w:t>
      </w:r>
      <w:r>
        <w:rPr>
          <w:rFonts w:hint="eastAsia" w:ascii="仿宋_GB2312" w:hAnsi="仿宋_GB2312" w:eastAsia="仿宋_GB2312" w:cs="仿宋_GB2312"/>
          <w:kern w:val="0"/>
          <w:szCs w:val="32"/>
        </w:rPr>
        <w:t>万元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；卫生健康支出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7.7万元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农林水支出459万元；住房保障支出21.8万元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三、部门整体预算绩效管理情况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（一）部门预算管理。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按照区财政局部门预算编制通知要求，按时完成部门年初预算编制工作。在编制过程中，认真核实单位实际财政供养人数和单位实有编制情况，正确编制人员经费和公用经费等，做到尽量细化项目资金支出预算范围和科目，及时上报预算股进行审核，对所编制的预算予以调整通过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为真实、准确反应单位年度财务收、支情况，根据区财政局的要求，认真开展部门年度决算报表编制工作。按照政府收支分类科目和财务报表支出情况编制部门决算，决算收入、支出口径与财政局财政大平台及我办财务账、会计帐核对无误，报表编制无差错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（二）项目预算管理。</w:t>
      </w:r>
    </w:p>
    <w:p>
      <w:pPr>
        <w:pStyle w:val="17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0" w:firstLineChars="200"/>
        <w:textAlignment w:val="auto"/>
        <w:rPr>
          <w:rFonts w:hAnsi="仿宋"/>
        </w:rPr>
      </w:pPr>
      <w:r>
        <w:rPr>
          <w:rFonts w:hint="eastAsia" w:hAnsi="仿宋"/>
        </w:rPr>
        <w:t>严格按照上级主管部门下达的年初目标任务，结合单位实际，进一步完善了财务管理制度，严格按照批复的预算，用款计划的要求以及工作进度申请支付资金，使财政收支预算执行得到良好的制度保障和实施效果。同时，根据区财政局的安排部署，及时进行了项目事前绩效评估和绩效运行监控管理，通过评估各项工作有序推进，资金使用随工作进度有序安排，保证了各项工作顺利进行，杜绝了违规违法事件的发生。</w:t>
      </w:r>
    </w:p>
    <w:p>
      <w:pPr>
        <w:pStyle w:val="17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0" w:firstLineChars="200"/>
        <w:textAlignment w:val="auto"/>
        <w:rPr>
          <w:rFonts w:ascii="方正仿宋_GBK" w:hAnsi="宋体" w:eastAsia="方正仿宋_GBK" w:cs="宋体"/>
          <w:color w:val="000000"/>
          <w:kern w:val="0"/>
          <w:shd w:val="clear" w:color="auto" w:fill="FFFFFF"/>
          <w:lang w:val="zh-CN"/>
        </w:rPr>
      </w:pPr>
      <w:r>
        <w:rPr>
          <w:rFonts w:hint="eastAsia" w:hAnsi="仿宋"/>
        </w:rPr>
        <w:t>我部财务管理严格依法依规依程序，尽量做到公开公平公正。在严格执行财政财纪有关法律法规的同时，严格按照政府采购、内部资产管理、信息公开、绩效评价及依法接受财政监督情况等有关规范执行。一是按照区财政局关于单位预决算信息公开的时间，在规定时间内完成本单位的信息公开。二是建立健全有效的内控制度，采取定期公开的的财务管理制度，严格执行财务管理制度，强化项目资金管理和使用。同时严格遵守国家、省、市、区财务管理法律法规，本着勤俭节约原则，管理好用好每笔资金。杜绝违规违法事件的发生。三是所有资产必须实现资产归口管理和明确使用责任，细化到人，每半年对办内资产进行清查盘点，对账实不符的情况及时进行处理；严格按照规定处置资产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（三）结果应用情况。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2022年绩效目标全面完成，取得了一定经济和社会效益。单位财务制度健全，管理规范，得到有效执行。通过加强绩效预算，使用财政资金得到有效使用，行政效率得到提高，促进了各项工作顺得利开展。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四、评价结论及建议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</w:t>
      </w:r>
      <w:bookmarkStart w:id="0" w:name="_GoBack"/>
      <w:bookmarkEnd w:id="0"/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评价结论。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zh-CN"/>
        </w:rPr>
        <w:t>年各项年初绩效目标基本实现，经济和社会效益有所提高，项目组织管理和财务管理基本健全规范，未发生违法违规问题。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（二）存在问题。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zh-CN"/>
        </w:rPr>
        <w:t>决算收入比年初预算增加,主要是因为人员经费增加和上级专项增加等原因造成的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（三）改进建议。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zh-CN"/>
        </w:rPr>
        <w:t>进一步健全和完善财务管理制度及内部控制制度，科学合理编制预算，严格执行预算。在规范财务收支和控制经费增长上，创新管理手段，用新思路、新方法，改进完善财务管理方法。按照财政支出绩效管理的要求，建立科学的财政资金效益考评制度体系，牢固树立行政成本意识，不断提高财政资金使用管理的水平和效率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zh-CN"/>
        </w:rPr>
        <w:t>中共乐山市金口河区委组织部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en-US" w:eastAsia="zh-CN"/>
        </w:rPr>
        <w:t xml:space="preserve">                            2023年5月8日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0" w:firstLineChars="200"/>
        <w:textAlignment w:val="auto"/>
        <w:rPr>
          <w:lang w:val="zh-CN"/>
        </w:rPr>
      </w:pPr>
    </w:p>
    <w:sectPr>
      <w:headerReference r:id="rId3" w:type="default"/>
      <w:footerReference r:id="rId4" w:type="even"/>
      <w:pgSz w:w="11906" w:h="16838"/>
      <w:pgMar w:top="2041" w:right="1468" w:bottom="1587" w:left="1468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DlkZjczZmExNzkwNmQ5NjNmNDNmMzVmMDE4MDEifQ=="/>
  </w:docVars>
  <w:rsids>
    <w:rsidRoot w:val="00EC0174"/>
    <w:rsid w:val="00006E4D"/>
    <w:rsid w:val="00021652"/>
    <w:rsid w:val="00030311"/>
    <w:rsid w:val="00030782"/>
    <w:rsid w:val="00030B66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37E4E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5915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8F6536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3946B2A"/>
    <w:rsid w:val="095E32CA"/>
    <w:rsid w:val="13560B54"/>
    <w:rsid w:val="19927F78"/>
    <w:rsid w:val="21AE59D8"/>
    <w:rsid w:val="286F56EA"/>
    <w:rsid w:val="2D527252"/>
    <w:rsid w:val="329102D6"/>
    <w:rsid w:val="3A9520B3"/>
    <w:rsid w:val="3DE562B7"/>
    <w:rsid w:val="3E6507EA"/>
    <w:rsid w:val="473A0013"/>
    <w:rsid w:val="47550EBA"/>
    <w:rsid w:val="50BB3388"/>
    <w:rsid w:val="597E10BB"/>
    <w:rsid w:val="6636451A"/>
    <w:rsid w:val="6BE94116"/>
    <w:rsid w:val="78916378"/>
    <w:rsid w:val="7BC20073"/>
    <w:rsid w:val="7C631402"/>
    <w:rsid w:val="7DCC0F6E"/>
    <w:rsid w:val="7E140770"/>
    <w:rsid w:val="9B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1"/>
    <w:semiHidden/>
    <w:qFormat/>
    <w:uiPriority w:val="99"/>
    <w:rPr>
      <w:kern w:val="0"/>
      <w:sz w:val="2"/>
      <w:szCs w:val="2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文档结构图 Char"/>
    <w:link w:val="2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1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2">
    <w:name w:val="页脚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四号正文"/>
    <w:basedOn w:val="1"/>
    <w:link w:val="15"/>
    <w:qFormat/>
    <w:uiPriority w:val="99"/>
    <w:pPr>
      <w:spacing w:line="360" w:lineRule="auto"/>
    </w:pPr>
    <w:rPr>
      <w:rFonts w:ascii="??" w:hAnsi="??" w:cs="宋体"/>
      <w:color w:val="000000"/>
      <w:kern w:val="0"/>
      <w:sz w:val="21"/>
      <w:szCs w:val="21"/>
    </w:rPr>
  </w:style>
  <w:style w:type="character" w:customStyle="1" w:styleId="15">
    <w:name w:val="四号正文 Char"/>
    <w:link w:val="14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16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〖C01〗正文"/>
    <w:qFormat/>
    <w:uiPriority w:val="0"/>
    <w:pPr>
      <w:widowControl w:val="0"/>
      <w:topLinePunct/>
      <w:spacing w:line="600" w:lineRule="exact"/>
      <w:ind w:firstLine="637" w:firstLineChars="200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1</Pages>
  <Words>305</Words>
  <Characters>305</Characters>
  <Lines>2</Lines>
  <Paragraphs>1</Paragraphs>
  <TotalTime>94</TotalTime>
  <ScaleCrop>false</ScaleCrop>
  <LinksUpToDate>false</LinksUpToDate>
  <CharactersWithSpaces>306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Daniel Wu</cp:lastModifiedBy>
  <cp:lastPrinted>2023-05-08T01:13:55Z</cp:lastPrinted>
  <dcterms:modified xsi:type="dcterms:W3CDTF">2023-05-09T07:03:14Z</dcterms:modified>
  <dc:title>区域性就业培训基地建设项目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58E846006ADD4501A27CA8329A45D0B6</vt:lpwstr>
  </property>
</Properties>
</file>